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1D44A1" w14:textId="013E72D3" w:rsidR="00CB73E4" w:rsidRPr="00F9758D" w:rsidRDefault="00CB73E4" w:rsidP="00F9758D">
      <w:r w:rsidRPr="00EF1B49">
        <w:rPr>
          <w:rFonts w:asciiTheme="majorHAnsi" w:hAnsiTheme="majorHAnsi" w:cstheme="majorHAnsi"/>
          <w:noProof/>
          <w:sz w:val="22"/>
          <w:szCs w:val="22"/>
        </w:rPr>
        <w:drawing>
          <wp:anchor distT="0" distB="0" distL="114300" distR="114300" simplePos="0" relativeHeight="251658240" behindDoc="0" locked="0" layoutInCell="1" allowOverlap="1" wp14:anchorId="3D67B128" wp14:editId="2AE1894F">
            <wp:simplePos x="0" y="0"/>
            <wp:positionH relativeFrom="margin">
              <wp:align>center</wp:align>
            </wp:positionH>
            <wp:positionV relativeFrom="paragraph">
              <wp:posOffset>-536575</wp:posOffset>
            </wp:positionV>
            <wp:extent cx="1463321" cy="532571"/>
            <wp:effectExtent l="0" t="0" r="3810" b="1270"/>
            <wp:wrapNone/>
            <wp:docPr id="1" name="image1.png" descr="Logotipo&#10;&#10;Descrição gerada automaticament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Logotipo&#10;&#10;Descrição gerada automaticamente"/>
                    <pic:cNvPicPr preferRelativeResize="0"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63321" cy="532571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2DDEBA51" w14:textId="77777777" w:rsidR="00CB73E4" w:rsidRDefault="00CB73E4" w:rsidP="00CB73E4">
      <w:pPr>
        <w:jc w:val="center"/>
        <w:rPr>
          <w:b/>
        </w:rPr>
      </w:pPr>
      <w:r>
        <w:rPr>
          <w:b/>
        </w:rPr>
        <w:t>Geração sanduíche: mulheres enfrentam desafio da segurança financeira</w:t>
      </w:r>
    </w:p>
    <w:p w14:paraId="549E8992" w14:textId="77777777" w:rsidR="00CB73E4" w:rsidRDefault="00CB73E4" w:rsidP="00CB73E4">
      <w:pPr>
        <w:jc w:val="center"/>
        <w:rPr>
          <w:i/>
        </w:rPr>
      </w:pPr>
      <w:r w:rsidRPr="008A1AAA">
        <w:rPr>
          <w:i/>
        </w:rPr>
        <w:t>Cerca de 1 milhão de brasileiros entre 35 e 49 anos assume, simultaneamente, os cuidados com os filhos e os pais idosos. Desse total, 60% são mulheres.</w:t>
      </w:r>
    </w:p>
    <w:p w14:paraId="61107F34" w14:textId="77777777" w:rsidR="00CB73E4" w:rsidRDefault="00CB73E4" w:rsidP="00CB73E4">
      <w:pPr>
        <w:jc w:val="both"/>
      </w:pPr>
      <w:r>
        <w:rPr>
          <w:b/>
        </w:rPr>
        <w:t xml:space="preserve">São Paulo, maio de 2025 – </w:t>
      </w:r>
      <w:r>
        <w:t>No Brasil, aproximadamente 955 mil adultos entre 35 e 49 anos vivem em lares multigeracionais, onde dividem tempo e recursos entre o cuidado com os filhos e o apoio aos pais idosos. Desses, 60% são mulheres, segundo dados da Pesquisa Nacional por Amostra de Domicílios Contínua (PNAD Contínua), de 2023.</w:t>
      </w:r>
    </w:p>
    <w:p w14:paraId="50ECCD93" w14:textId="77777777" w:rsidR="00CB73E4" w:rsidRDefault="00CB73E4" w:rsidP="00CB73E4">
      <w:pPr>
        <w:jc w:val="both"/>
      </w:pPr>
      <w:r>
        <w:t xml:space="preserve">Esse grupo integra a chamada “geração sanduíche” — termo cunhado em 1981 pela assistente social norte-americana Dorothy A. Miller para descrever adultos que acumulam responsabilidades com as gerações ascendentes e descendentes da família. </w:t>
      </w:r>
    </w:p>
    <w:p w14:paraId="27975885" w14:textId="77777777" w:rsidR="00CB73E4" w:rsidRDefault="00CB73E4" w:rsidP="00CB73E4">
      <w:pPr>
        <w:jc w:val="both"/>
      </w:pPr>
      <w:r>
        <w:t>A sobrecarga imposta por essa configuração familiar exige preparo físico, emocional e, sobretudo, financeiro. Diante de tantas demandas simultâneas, o planejamento torna-se essencial para preservar a estabilidade do núcleo familiar. Nesse cenário, o seguro de vida surge como um aliado estratégico — especialmente para as mulheres, que costumam estar no centro dessas relações.</w:t>
      </w:r>
    </w:p>
    <w:p w14:paraId="742BB12B" w14:textId="77777777" w:rsidR="00CB73E4" w:rsidRDefault="00CB73E4" w:rsidP="00CB73E4">
      <w:pPr>
        <w:jc w:val="both"/>
      </w:pPr>
      <w:r>
        <w:t>Para Anna Angotti, gerente de seguros de vida individual e de viagem da Omint, o seguro vai além de um instrumento financeiro: é também uma forma de cuidado. “O seguro de vida não deve ser pensado apenas para situações extremas, mas como um apoio concreto para mães que precisam garantir a estabilidade financeira dos filhos enquanto cuidam dos pais”, afirma a executiva.</w:t>
      </w:r>
    </w:p>
    <w:p w14:paraId="4B38AA11" w14:textId="77777777" w:rsidR="00CB73E4" w:rsidRDefault="00CB73E4" w:rsidP="00CB73E4">
      <w:pPr>
        <w:pBdr>
          <w:top w:val="nil"/>
          <w:left w:val="nil"/>
          <w:bottom w:val="nil"/>
          <w:right w:val="nil"/>
          <w:between w:val="nil"/>
        </w:pBdr>
        <w:jc w:val="both"/>
      </w:pPr>
      <w:r>
        <w:t>Entre as coberturas mais relevantes para esse público, destacam-se:</w:t>
      </w:r>
    </w:p>
    <w:p w14:paraId="57E13A4C" w14:textId="77777777" w:rsidR="00CB73E4" w:rsidRDefault="00CB73E4" w:rsidP="00CB73E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</w:pPr>
      <w:r w:rsidRPr="00934669">
        <w:rPr>
          <w:b/>
          <w:bCs/>
        </w:rPr>
        <w:t>Doenças graves</w:t>
      </w:r>
      <w:r>
        <w:t>: permite o resgate do valor segurado logo após o diagnóstico de alguma das enfermidades previstas em contrato, oferecendo liquidez imediata para custear tratamentos, adaptações na rotina ou outras necessidades prioritárias.</w:t>
      </w:r>
    </w:p>
    <w:p w14:paraId="76865391" w14:textId="77777777" w:rsidR="00CB73E4" w:rsidRDefault="00CB73E4" w:rsidP="00CB73E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 w:rsidRPr="00934669">
        <w:rPr>
          <w:b/>
          <w:bCs/>
        </w:rPr>
        <w:t>Invalidez permanente total ou parcial</w:t>
      </w:r>
      <w:r>
        <w:t>: assegura recursos financeiros para enfrentar a perda total ou parcial da capacidade de trabalho, contribuindo para a manutenção da autonomia e da qualidade de vida</w:t>
      </w:r>
      <w:r>
        <w:rPr>
          <w:color w:val="000000"/>
        </w:rPr>
        <w:t>.</w:t>
      </w:r>
    </w:p>
    <w:p w14:paraId="1A40D957" w14:textId="77777777" w:rsidR="00CB73E4" w:rsidRDefault="00CB73E4" w:rsidP="00CB73E4">
      <w:pPr>
        <w:jc w:val="both"/>
      </w:pPr>
      <w:r>
        <w:t>“Ambas as coberturas podem ser acionadas em vida, e o capital segurado é totalmente personalizado. Após o diagnóstico, a beneficiária recebe o valor da apólice em até 30 dias, podendo utilizá-lo da forma que considerar mais adequada às suas necessidades”, explica Angotti.</w:t>
      </w:r>
    </w:p>
    <w:p w14:paraId="6987710D" w14:textId="6F3DA4A0" w:rsidR="00CB73E4" w:rsidRPr="00CB73E4" w:rsidRDefault="00CB73E4" w:rsidP="00CB73E4">
      <w:pPr>
        <w:jc w:val="both"/>
      </w:pPr>
      <w:r>
        <w:t>Em cenários mais extremos, como o falecimento da segurada, o valor estipulado é repassado aos beneficiários indicados, que podem ser os próprios filhos e/ou os pais, assegurando estabilidade financeira mesmo em sua ausência.</w:t>
      </w:r>
    </w:p>
    <w:sectPr w:rsidR="00CB73E4" w:rsidRPr="00CB73E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charset w:val="00"/>
    <w:family w:val="auto"/>
    <w:pitch w:val="default"/>
  </w:font>
  <w:font w:name="Aptos">
    <w:altName w:val="Calibri"/>
    <w:panose1 w:val="00000000000000000000"/>
    <w:charset w:val="00"/>
    <w:family w:val="roman"/>
    <w:notTrueType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altName w:val="Calibri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AB61994"/>
    <w:multiLevelType w:val="multilevel"/>
    <w:tmpl w:val="E760097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15361960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73E4"/>
    <w:rsid w:val="007A2061"/>
    <w:rsid w:val="00CB73E4"/>
    <w:rsid w:val="00F975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DF9791"/>
  <w15:chartTrackingRefBased/>
  <w15:docId w15:val="{4043C79E-08ED-4FA8-8D12-A590876DDA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t-B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B73E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B73E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B73E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B73E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B73E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B73E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B73E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B73E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B73E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B73E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B73E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B73E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B73E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B73E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B73E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B73E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B73E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B73E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B73E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B73E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B73E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B73E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B73E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B73E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B73E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B73E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B73E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B73E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B73E4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55F0F8-6A42-4A03-A629-086EBFB34F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398</Words>
  <Characters>2155</Characters>
  <Application>Microsoft Office Word</Application>
  <DocSecurity>0</DocSecurity>
  <Lines>17</Lines>
  <Paragraphs>5</Paragraphs>
  <ScaleCrop>false</ScaleCrop>
  <Company/>
  <LinksUpToDate>false</LinksUpToDate>
  <CharactersWithSpaces>2548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Lucas Henrique Silva Santos</dc:creator>
  <cp:keywords/>
  <dc:description/>
  <cp:lastModifiedBy>Lucas Henrique Silva Santos</cp:lastModifiedBy>
  <cp:revision>2</cp:revision>
  <dcterms:created xsi:type="dcterms:W3CDTF">2025-06-05T20:47:00Z</dcterms:created>
  <dcterms:modified xsi:type="dcterms:W3CDTF">2025-06-05T20:55:00Z</dcterms:modified>
</cp:coreProperties>
</file>