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3CD" w14:textId="5075D698" w:rsidR="00AF76B1" w:rsidRDefault="00AF76B1">
      <w:pPr>
        <w:tabs>
          <w:tab w:val="center" w:pos="4252"/>
          <w:tab w:val="right" w:pos="8504"/>
          <w:tab w:val="right" w:pos="8478"/>
        </w:tabs>
        <w:spacing w:line="240" w:lineRule="auto"/>
        <w:ind w:right="-40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548D89BC" w14:textId="77777777" w:rsidR="00D51711" w:rsidRDefault="00D51711" w:rsidP="00D51711">
      <w:pPr>
        <w:pStyle w:val="Ttulo2"/>
        <w:keepNext w:val="0"/>
        <w:keepLines w:val="0"/>
        <w:spacing w:before="0"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175EF292">
        <w:rPr>
          <w:rFonts w:ascii="Calibri" w:eastAsia="Calibri" w:hAnsi="Calibri" w:cs="Calibri"/>
          <w:b/>
          <w:bCs/>
          <w:sz w:val="24"/>
          <w:szCs w:val="24"/>
        </w:rPr>
        <w:t>O que a ciência diz sobre a dieta anti-inflamatória?</w:t>
      </w:r>
    </w:p>
    <w:p w14:paraId="54E9C836" w14:textId="77777777" w:rsidR="00D51711" w:rsidRPr="003971F8" w:rsidRDefault="00D51711" w:rsidP="00D51711">
      <w:pPr>
        <w:rPr>
          <w:sz w:val="24"/>
          <w:szCs w:val="24"/>
        </w:rPr>
      </w:pPr>
    </w:p>
    <w:p w14:paraId="27B2B46F" w14:textId="77777777" w:rsidR="00D51711" w:rsidRDefault="00D51711" w:rsidP="00D51711">
      <w:pPr>
        <w:spacing w:line="240" w:lineRule="auto"/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Nutrólogo explica que não se trata de uma dieta validada por pesquisas e reforça a importância de um plano alimentar individualizado </w:t>
      </w:r>
    </w:p>
    <w:p w14:paraId="0DC0C09F" w14:textId="77777777" w:rsidR="00D51711" w:rsidRDefault="00D51711" w:rsidP="00D51711">
      <w:pPr>
        <w:spacing w:line="240" w:lineRule="auto"/>
        <w:jc w:val="center"/>
        <w:rPr>
          <w:rFonts w:ascii="Calibri" w:eastAsia="Calibri" w:hAnsi="Calibri" w:cs="Calibri"/>
          <w:i/>
          <w:iCs/>
          <w:sz w:val="24"/>
          <w:szCs w:val="24"/>
        </w:rPr>
      </w:pPr>
    </w:p>
    <w:p w14:paraId="36AA5360" w14:textId="77777777" w:rsidR="00D51711" w:rsidRPr="003546FD" w:rsidRDefault="00D51711" w:rsidP="00D5171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São Paulo, janeiro de 2026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 w:rsidRPr="003546FD">
        <w:rPr>
          <w:rFonts w:ascii="Calibri" w:eastAsia="Calibri" w:hAnsi="Calibri" w:cs="Calibri"/>
          <w:sz w:val="24"/>
          <w:szCs w:val="24"/>
        </w:rPr>
        <w:t xml:space="preserve">A chamada “dieta anti-inflamatória” tem ganhado espaço quando o assunto é saúde e emagrecimento. Entretanto, nem sempre é propagada de forma precisa do ponto de vista científico. De acordo com o médico nutrólogo credenciado da </w:t>
      </w:r>
      <w:proofErr w:type="spellStart"/>
      <w:r w:rsidRPr="003546FD">
        <w:rPr>
          <w:rFonts w:ascii="Calibri" w:eastAsia="Calibri" w:hAnsi="Calibri" w:cs="Calibri"/>
          <w:sz w:val="24"/>
          <w:szCs w:val="24"/>
        </w:rPr>
        <w:t>Omint</w:t>
      </w:r>
      <w:proofErr w:type="spellEnd"/>
      <w:r w:rsidRPr="003546FD">
        <w:rPr>
          <w:rFonts w:ascii="Calibri" w:eastAsia="Calibri" w:hAnsi="Calibri" w:cs="Calibri"/>
          <w:sz w:val="24"/>
          <w:szCs w:val="24"/>
        </w:rPr>
        <w:t>, Dr. Celso Cukier, não se trata de um regime validado pela ciência, mas de um modelo de alimentação difundido popularmente, que simplifica processos biológicos complexos ao generalizar a relação entre alimentos e inflamação.</w:t>
      </w:r>
    </w:p>
    <w:p w14:paraId="3F4D6BE2" w14:textId="77777777" w:rsidR="00D51711" w:rsidRPr="003546FD" w:rsidRDefault="00D51711" w:rsidP="00D5171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830870F" w14:textId="77777777" w:rsidR="00D51711" w:rsidRDefault="00D51711" w:rsidP="00D5171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546FD">
        <w:rPr>
          <w:rFonts w:ascii="Calibri" w:eastAsia="Calibri" w:hAnsi="Calibri" w:cs="Calibri"/>
          <w:sz w:val="24"/>
          <w:szCs w:val="24"/>
        </w:rPr>
        <w:t>Para entender por que essa associação pode ser equivocada, é preciso primeiro compreender o que é a inflamação no organismo. Segundo o especialista, trata-se de um mecanismo natural de defesa do corpo humano, que pode ser agudo ou crônico, e apenas no segundo quadro deve ser investigado e tratado com mais atenção. “Nesse caso, entender a origem do processo inflamatório é fundamental antes de qualquer mudança alimentar”, explica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18BA08A4" w14:textId="77777777" w:rsidR="00D51711" w:rsidRDefault="00D51711" w:rsidP="00D5171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3EA4C47" w14:textId="77777777" w:rsidR="00D51711" w:rsidRDefault="00D51711" w:rsidP="00D5171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546FD">
        <w:rPr>
          <w:rFonts w:ascii="Calibri" w:eastAsia="Calibri" w:hAnsi="Calibri" w:cs="Calibri"/>
          <w:sz w:val="24"/>
          <w:szCs w:val="24"/>
        </w:rPr>
        <w:t>Um dos pontos mais discutidos em torno do protocolo anti-inflamatório é a retirada do glúten e do leite da alimentação. Para o nutrólogo, essa exclusão só faz sentido quando há exames que indiquem intolerância, alergia ou presença de anticorpos. “Em alguns casos, como na doença celíaca, o glúten pode desencadear uma resposta imunológica, mas isso só acontece quando há diagnóstico comprovado. Eliminar alimentos sem uma avaliação prévia não tem embasamento científico e pode trazer prejuízos nutricionais”, alerta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E7D0B52" w14:textId="77777777" w:rsidR="00D51711" w:rsidRDefault="00D51711" w:rsidP="00D5171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E282639" w14:textId="77777777" w:rsidR="00D51711" w:rsidRPr="003546FD" w:rsidRDefault="00D51711" w:rsidP="00D5171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2D4116DD">
        <w:rPr>
          <w:rFonts w:ascii="Calibri" w:eastAsia="Calibri" w:hAnsi="Calibri" w:cs="Calibri"/>
          <w:sz w:val="24"/>
          <w:szCs w:val="24"/>
        </w:rPr>
        <w:t xml:space="preserve">O especialista explica, ainda, que estudos recentes mostram que a </w:t>
      </w:r>
      <w:r w:rsidRPr="2D4116DD">
        <w:rPr>
          <w:rFonts w:ascii="Calibri" w:eastAsia="Calibri" w:hAnsi="Calibri" w:cs="Calibri"/>
          <w:color w:val="000000" w:themeColor="text1"/>
          <w:sz w:val="24"/>
          <w:szCs w:val="24"/>
        </w:rPr>
        <w:t>ingestão de produtos industrializados, ricos em gordura saturada e sal, pode levar a alterações da flora intestinal e causar processos inflamatórios intestinais, como a disbiose,</w:t>
      </w:r>
      <w:r w:rsidRPr="2D4116DD">
        <w:rPr>
          <w:rFonts w:ascii="Calibri" w:eastAsia="Calibri" w:hAnsi="Calibri" w:cs="Calibri"/>
          <w:sz w:val="24"/>
          <w:szCs w:val="24"/>
        </w:rPr>
        <w:t xml:space="preserve"> na qual ocorre o desequilíbrio da microbiota intestinal. “Mas isso é diferente de classificar uma dieta com restrições alimentares como anti-inflamatória. O foco deve estar na qualidade nutricional”, pontua.  </w:t>
      </w:r>
    </w:p>
    <w:p w14:paraId="454F45F4" w14:textId="77777777" w:rsidR="00D51711" w:rsidRPr="003546FD" w:rsidRDefault="00D51711" w:rsidP="00D5171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D3B750A" w14:textId="77777777" w:rsidR="00D51711" w:rsidRPr="003546FD" w:rsidRDefault="00D51711" w:rsidP="00D5171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546FD">
        <w:rPr>
          <w:rFonts w:ascii="Calibri" w:eastAsia="Calibri" w:hAnsi="Calibri" w:cs="Calibri"/>
          <w:sz w:val="24"/>
          <w:szCs w:val="24"/>
        </w:rPr>
        <w:t>Nesse contexto, padrões alimentares mais equilibrados, como a dieta mediterrânea, costumam ter associações benéficas à saúde. “São modelos ricos em frutas, legumes, verduras, alimentos integrais e compostos antioxidantes, que estimulam os mecanismos naturais de equilíbrio do organismo”, explica Cukier.</w:t>
      </w:r>
    </w:p>
    <w:p w14:paraId="3D05BA7A" w14:textId="77777777" w:rsidR="00D51711" w:rsidRPr="003546FD" w:rsidRDefault="00D51711" w:rsidP="00D5171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FCFBCDA" w14:textId="77777777" w:rsidR="00D51711" w:rsidRDefault="00D51711" w:rsidP="00D51711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546FD">
        <w:rPr>
          <w:rFonts w:ascii="Calibri" w:eastAsia="Calibri" w:hAnsi="Calibri" w:cs="Calibri"/>
          <w:sz w:val="24"/>
          <w:szCs w:val="24"/>
        </w:rPr>
        <w:t>Para o nutrólogo, a principal orientação é evitar generalizações. Além disso, antes de atribuir um processo inflamatório a um alimento específico, é fundamental avaliar o paciente de forma individualizada, com base em exames e diagnóstico adequados. Na ausência de alterações clínicas, uma alimentação equilibrada e de boa qualidade nutricional é suficiente para promover saúde e bem-estar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F8CCB90" w14:textId="77777777" w:rsidR="00D51711" w:rsidRDefault="00D51711" w:rsidP="00D5171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6186CC6" w14:textId="5CADC675" w:rsidR="00AF76B1" w:rsidRDefault="00AF76B1" w:rsidP="009D7FA0">
      <w:pPr>
        <w:spacing w:line="240" w:lineRule="auto"/>
        <w:jc w:val="center"/>
        <w:rPr>
          <w:highlight w:val="white"/>
        </w:rPr>
      </w:pPr>
    </w:p>
    <w:sectPr w:rsidR="00AF76B1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F7AC" w14:textId="77777777" w:rsidR="00AA2D69" w:rsidRDefault="00AA2D69">
      <w:pPr>
        <w:spacing w:line="240" w:lineRule="auto"/>
      </w:pPr>
      <w:r>
        <w:separator/>
      </w:r>
    </w:p>
  </w:endnote>
  <w:endnote w:type="continuationSeparator" w:id="0">
    <w:p w14:paraId="5AD4D157" w14:textId="77777777" w:rsidR="00AA2D69" w:rsidRDefault="00AA2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3F66" w14:textId="77777777" w:rsidR="00AA2D69" w:rsidRDefault="00AA2D69">
      <w:pPr>
        <w:spacing w:line="240" w:lineRule="auto"/>
      </w:pPr>
      <w:r>
        <w:separator/>
      </w:r>
    </w:p>
  </w:footnote>
  <w:footnote w:type="continuationSeparator" w:id="0">
    <w:p w14:paraId="2424FB2A" w14:textId="77777777" w:rsidR="00AA2D69" w:rsidRDefault="00AA2D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C9FD" w14:textId="33A5B7AA" w:rsidR="00AF76B1" w:rsidRPr="00834401" w:rsidRDefault="00834401" w:rsidP="00834401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7783B771" wp14:editId="13215D38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3B5C"/>
    <w:multiLevelType w:val="hybridMultilevel"/>
    <w:tmpl w:val="6CAEE8EC"/>
    <w:lvl w:ilvl="0" w:tplc="23F84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88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D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8B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8F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A5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60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F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04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42B4"/>
    <w:multiLevelType w:val="multilevel"/>
    <w:tmpl w:val="8B9C8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6816702">
    <w:abstractNumId w:val="0"/>
  </w:num>
  <w:num w:numId="2" w16cid:durableId="148454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B1"/>
    <w:rsid w:val="00057D1B"/>
    <w:rsid w:val="00124452"/>
    <w:rsid w:val="00251E29"/>
    <w:rsid w:val="004466E9"/>
    <w:rsid w:val="004C68BE"/>
    <w:rsid w:val="005C5145"/>
    <w:rsid w:val="006903E5"/>
    <w:rsid w:val="006A3B15"/>
    <w:rsid w:val="007461F0"/>
    <w:rsid w:val="00834401"/>
    <w:rsid w:val="009D7FA0"/>
    <w:rsid w:val="00AA2D69"/>
    <w:rsid w:val="00AF76B1"/>
    <w:rsid w:val="00D51711"/>
    <w:rsid w:val="00E43392"/>
    <w:rsid w:val="00E655E0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44B"/>
  <w15:docId w15:val="{DE238584-1489-46F6-B7C5-E1725D5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401"/>
  </w:style>
  <w:style w:type="paragraph" w:styleId="Rodap">
    <w:name w:val="footer"/>
    <w:basedOn w:val="Normal"/>
    <w:link w:val="Rodap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401"/>
  </w:style>
  <w:style w:type="paragraph" w:styleId="PargrafodaLista">
    <w:name w:val="List Paragraph"/>
    <w:basedOn w:val="Normal"/>
    <w:uiPriority w:val="34"/>
    <w:qFormat/>
    <w:rsid w:val="009D7FA0"/>
    <w:pP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71338AD0-F11C-443E-A2DD-F35064EF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8FAD4-23D5-4AF3-9FC3-F97C32CCA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3263F-189E-4F10-8204-E405250334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Daniel da Silva Augusto</cp:lastModifiedBy>
  <cp:revision>2</cp:revision>
  <dcterms:created xsi:type="dcterms:W3CDTF">2026-03-11T21:10:00Z</dcterms:created>
  <dcterms:modified xsi:type="dcterms:W3CDTF">2026-03-11T21:10:00Z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2025-10-31T12:30:01Z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e170daec-6e4c-4f0f-971a-2d87ff8f2505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