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252" w:leader="none"/>
          <w:tab w:val="right" w:pos="8478" w:leader="none"/>
          <w:tab w:val="right" w:pos="8504" w:leader="none"/>
        </w:tabs>
        <w:spacing w:lineRule="auto" w:line="240"/>
        <w:jc w:val="center"/>
        <w:rPr>
          <w:rFonts w:ascii="Calibri" w:hAnsi="Calibri" w:eastAsia="Calibri" w:cs="Calibri" w:asciiTheme="majorHAnsi" w:cstheme="majorHAnsi" w:hAnsiTheme="majorHAnsi"/>
          <w:b/>
          <w:bCs/>
          <w:lang w:val="en-US"/>
        </w:rPr>
      </w:pPr>
      <w:r>
        <w:rPr>
          <w:rFonts w:eastAsia="Calibri" w:cs="Calibri" w:cstheme="majorHAnsi" w:ascii="Calibri" w:hAnsi="Calibri"/>
          <w:b/>
          <w:bCs/>
          <w:lang w:val="en-US"/>
        </w:rPr>
      </w:r>
    </w:p>
    <w:p>
      <w:pPr>
        <w:pStyle w:val="Normal"/>
        <w:spacing w:lineRule="auto" w:line="240"/>
        <w:jc w:val="center"/>
        <w:rPr>
          <w:rFonts w:ascii="Calibri" w:hAnsi="Calibri" w:eastAsia="Calibri" w:cs="Calibri" w:asciiTheme="majorHAnsi" w:cstheme="majorHAnsi" w:hAnsiTheme="majorHAnsi"/>
          <w:b/>
          <w:bCs/>
        </w:rPr>
      </w:pPr>
      <w:r>
        <w:rPr>
          <w:rFonts w:eastAsia="Calibri" w:cs="Calibri" w:ascii="Calibri" w:hAnsi="Calibri" w:asciiTheme="majorHAnsi" w:cstheme="majorHAnsi" w:hAnsiTheme="majorHAnsi"/>
          <w:b/>
          <w:bCs/>
        </w:rPr>
        <w:t>Proteção de renda ganha força diante do “modelo informal” de carreira médica</w:t>
      </w:r>
    </w:p>
    <w:p>
      <w:pPr>
        <w:pStyle w:val="Normal"/>
        <w:spacing w:lineRule="auto" w:line="240"/>
        <w:jc w:val="center"/>
        <w:rPr>
          <w:rFonts w:ascii="Calibri" w:hAnsi="Calibri" w:eastAsia="Calibri" w:cs="Calibri" w:asciiTheme="majorHAnsi" w:cstheme="majorHAnsi" w:hAnsiTheme="majorHAnsi"/>
          <w:b/>
          <w:bCs/>
        </w:rPr>
      </w:pPr>
      <w:r>
        <w:rPr>
          <w:rFonts w:eastAsia="Calibri" w:cs="Calibri" w:cstheme="majorHAnsi" w:ascii="Calibri" w:hAnsi="Calibri"/>
          <w:b/>
          <w:bCs/>
        </w:rPr>
      </w:r>
    </w:p>
    <w:p>
      <w:pPr>
        <w:pStyle w:val="Normal"/>
        <w:spacing w:lineRule="auto" w:line="240"/>
        <w:jc w:val="center"/>
        <w:rPr>
          <w:rFonts w:ascii="Calibri" w:hAnsi="Calibri" w:eastAsia="Calibri" w:cs="Calibri" w:asciiTheme="majorHAnsi" w:cstheme="majorHAnsi" w:hAnsiTheme="majorHAnsi"/>
          <w:i/>
          <w:iCs/>
        </w:rPr>
      </w:pPr>
      <w:r>
        <w:rPr>
          <w:rFonts w:eastAsia="Calibri" w:cs="Calibri" w:ascii="Calibri" w:hAnsi="Calibri" w:asciiTheme="majorHAnsi" w:cstheme="majorHAnsi" w:hAnsiTheme="majorHAnsi"/>
          <w:i/>
          <w:iCs/>
        </w:rPr>
        <w:t>Transformações geracionais e múltiplos vínculos levam profissionais a assumir a gestão dos próprios riscos financeiros</w:t>
      </w:r>
    </w:p>
    <w:p>
      <w:pPr>
        <w:pStyle w:val="Normal"/>
        <w:spacing w:lineRule="auto" w:line="240"/>
        <w:jc w:val="center"/>
        <w:rPr>
          <w:rFonts w:ascii="Calibri" w:hAnsi="Calibri" w:eastAsia="Calibri" w:cs="Calibri" w:asciiTheme="majorHAnsi" w:cstheme="majorHAnsi" w:hAnsiTheme="majorHAnsi"/>
          <w:i/>
          <w:iCs/>
        </w:rPr>
      </w:pPr>
      <w:r>
        <w:rPr>
          <w:rFonts w:eastAsia="Calibri" w:cs="Calibri" w:cstheme="majorHAnsi" w:ascii="Calibri" w:hAnsi="Calibri"/>
          <w:i/>
          <w:iCs/>
        </w:rPr>
      </w:r>
    </w:p>
    <w:p>
      <w:pPr>
        <w:pStyle w:val="Normal"/>
        <w:spacing w:lineRule="auto" w:line="240"/>
        <w:jc w:val="both"/>
        <w:rPr>
          <w:rFonts w:ascii="Calibri" w:hAnsi="Calibri" w:eastAsia="Calibri" w:cs="Calibri"/>
        </w:rPr>
      </w:pPr>
      <w:r>
        <w:rPr>
          <w:rFonts w:eastAsia="Calibri" w:cs="Calibri" w:ascii="Calibri" w:hAnsi="Calibri" w:asciiTheme="majorHAnsi" w:cstheme="majorHAnsi" w:hAnsiTheme="majorHAnsi"/>
          <w:b/>
          <w:bCs/>
        </w:rPr>
        <w:t xml:space="preserve">São Paulo, março de 2026 - </w:t>
      </w:r>
      <w:r>
        <w:rPr>
          <w:rFonts w:eastAsia="Calibri" w:cs="Calibri" w:ascii="Calibri" w:hAnsi="Calibri"/>
        </w:rPr>
        <w:t>A nova geração de médicos brasileiros chega ao mercado com renda acima da média nacional, mas inserida em um modelo de atuação baseado em contratos e prestação de serviços, o que amplia a responsabilidade individual pela gestão financeira e pelos próprios riscos. Apenas um terço da categoria possui vínculo trabalhista, segundo a</w:t>
      </w:r>
      <w:hyperlink r:id="rId2">
        <w:r>
          <w:rPr>
            <w:rStyle w:val="Style3"/>
            <w:rFonts w:eastAsia="Calibri" w:cs="Calibri" w:ascii="Calibri" w:hAnsi="Calibri"/>
          </w:rPr>
          <w:t xml:space="preserve"> </w:t>
        </w:r>
      </w:hyperlink>
      <w:hyperlink r:id="rId3">
        <w:r>
          <w:rPr>
            <w:rStyle w:val="Style3"/>
            <w:rFonts w:eastAsia="Calibri" w:cs="Calibri" w:ascii="Calibri" w:hAnsi="Calibri"/>
            <w:color w:val="1155CC"/>
            <w:u w:val="single"/>
          </w:rPr>
          <w:t>Demografia Médica no Brasil</w:t>
        </w:r>
      </w:hyperlink>
      <w:r>
        <w:rPr>
          <w:rFonts w:eastAsia="Calibri" w:cs="Calibri" w:ascii="Calibri" w:hAnsi="Calibri"/>
        </w:rPr>
        <w:t>. Na prática, isso significa que a maioria dos profissionais precisa estruturar seu planejamento previdenciário e securitário, considerando inclusive a cobertura para afastamentos temporários por doença ou invalidez.</w:t>
      </w:r>
    </w:p>
    <w:p>
      <w:pPr>
        <w:pStyle w:val="Normal"/>
        <w:spacing w:lineRule="auto" w:line="240"/>
        <w:jc w:val="both"/>
        <w:rPr>
          <w:rFonts w:ascii="Calibri" w:hAnsi="Calibri" w:eastAsia="Calibri" w:cs="Calibri"/>
        </w:rPr>
      </w:pPr>
      <w:r>
        <w:rPr>
          <w:rFonts w:eastAsia="Calibri" w:cs="Calibri" w:ascii="Calibri" w:hAnsi="Calibri"/>
        </w:rPr>
      </w:r>
    </w:p>
    <w:p>
      <w:pPr>
        <w:pStyle w:val="Normal"/>
        <w:spacing w:lineRule="auto" w:line="240"/>
        <w:jc w:val="both"/>
        <w:rPr>
          <w:rFonts w:ascii="Calibri" w:hAnsi="Calibri" w:eastAsia="Calibri" w:cs="Calibri"/>
        </w:rPr>
      </w:pPr>
      <w:r>
        <w:rPr>
          <w:rFonts w:eastAsia="Calibri" w:cs="Calibri" w:ascii="Calibri" w:hAnsi="Calibri"/>
        </w:rPr>
        <w:t>A transformação geracional da profissão reforça esse cenário. A idade média dos médicos caiu de 45,5 anos em 2009 para 44,8 anos em 2024, com projeção de atingir 40,8 anos em 2035. O movimento reflete a expansão dos cursos de Medicina e a entrada massiva de profissionais mais jovens no mercado, muitos deles com renda variável, múltiplos vínculos e foco em especialização contínua.</w:t>
      </w:r>
    </w:p>
    <w:p>
      <w:pPr>
        <w:pStyle w:val="Normal"/>
        <w:spacing w:lineRule="auto" w:line="240"/>
        <w:jc w:val="both"/>
        <w:rPr>
          <w:rFonts w:ascii="Calibri" w:hAnsi="Calibri" w:eastAsia="Calibri" w:cs="Calibri"/>
        </w:rPr>
      </w:pPr>
      <w:r>
        <w:rPr>
          <w:rFonts w:eastAsia="Calibri" w:cs="Calibri" w:ascii="Calibri" w:hAnsi="Calibri"/>
        </w:rPr>
      </w:r>
    </w:p>
    <w:p>
      <w:pPr>
        <w:pStyle w:val="Normal"/>
        <w:spacing w:lineRule="auto" w:line="240"/>
        <w:jc w:val="both"/>
        <w:rPr>
          <w:rFonts w:ascii="Calibri" w:hAnsi="Calibri" w:eastAsia="Calibri" w:cs="Calibri"/>
        </w:rPr>
      </w:pPr>
      <w:r>
        <w:rPr>
          <w:rFonts w:eastAsia="Calibri" w:cs="Calibri" w:ascii="Calibri" w:hAnsi="Calibri"/>
        </w:rPr>
        <w:t>Para José Luiz Florippes, diretor de vendas da Omint Seguros, esse novo perfil torna o planejamento financeiro um componente estratégico da carreira. “O seguro de vida passa a ser analisado também como um instrumento de proteção de renda, com coberturas acionáveis em caso de imprevistos, como invalidez por acidente ou doenças graves, garantindo maior previsibilidade financeira durante períodos de afastamento. Além disso, já existem soluções desenvolvidas especificamente para profissionais da saúde”, afirma.</w:t>
      </w:r>
    </w:p>
    <w:p>
      <w:pPr>
        <w:pStyle w:val="Normal"/>
        <w:spacing w:lineRule="auto" w:line="240"/>
        <w:jc w:val="both"/>
        <w:rPr>
          <w:rFonts w:ascii="Calibri" w:hAnsi="Calibri" w:eastAsia="Calibri" w:cs="Calibri"/>
        </w:rPr>
      </w:pPr>
      <w:r>
        <w:rPr>
          <w:rFonts w:eastAsia="Calibri" w:cs="Calibri" w:ascii="Calibri" w:hAnsi="Calibri"/>
        </w:rPr>
      </w:r>
    </w:p>
    <w:p>
      <w:pPr>
        <w:pStyle w:val="Normal"/>
        <w:spacing w:lineRule="auto" w:line="240"/>
        <w:jc w:val="both"/>
        <w:rPr>
          <w:rFonts w:ascii="Calibri" w:hAnsi="Calibri" w:eastAsia="Calibri" w:cs="Calibri"/>
        </w:rPr>
      </w:pPr>
      <w:r>
        <w:rPr>
          <w:rFonts w:eastAsia="Calibri" w:cs="Calibri" w:ascii="Calibri" w:hAnsi="Calibri"/>
        </w:rPr>
        <w:t xml:space="preserve">Segundo o executivo, contratar o seguro ainda no início da carreira tende a ser mais vantajoso do ponto de vista atuarial. “Quanto mais jovem o profissional, menores são os custos e maior a previsibilidade das condições contratuais ao longo do tempo. Isso permite estruturar proteção financeira em paralelo à consolidação da carreira”, explica. </w:t>
      </w:r>
    </w:p>
    <w:p>
      <w:pPr>
        <w:pStyle w:val="Normal"/>
        <w:spacing w:lineRule="auto" w:line="240"/>
        <w:jc w:val="both"/>
        <w:rPr>
          <w:rFonts w:ascii="Calibri" w:hAnsi="Calibri" w:eastAsia="Calibri" w:cs="Calibri"/>
        </w:rPr>
      </w:pPr>
      <w:r>
        <w:rPr>
          <w:rFonts w:eastAsia="Calibri" w:cs="Calibri" w:ascii="Calibri" w:hAnsi="Calibri"/>
        </w:rPr>
      </w:r>
    </w:p>
    <w:p>
      <w:pPr>
        <w:pStyle w:val="Normal"/>
        <w:spacing w:lineRule="auto" w:line="240"/>
        <w:jc w:val="both"/>
        <w:rPr>
          <w:rFonts w:ascii="Calibri" w:hAnsi="Calibri" w:eastAsia="Calibri" w:cs="Calibri"/>
          <w:b/>
          <w:bCs/>
        </w:rPr>
      </w:pPr>
      <w:r>
        <w:rPr>
          <w:rFonts w:eastAsia="Calibri" w:cs="Calibri" w:ascii="Calibri" w:hAnsi="Calibri"/>
          <w:b/>
          <w:bCs/>
        </w:rPr>
        <w:t>Coberturas específicas para a prática médica</w:t>
      </w:r>
    </w:p>
    <w:p>
      <w:pPr>
        <w:pStyle w:val="Normal"/>
        <w:spacing w:lineRule="auto" w:line="240"/>
        <w:jc w:val="both"/>
        <w:rPr>
          <w:rFonts w:ascii="Calibri" w:hAnsi="Calibri" w:eastAsia="Calibri" w:cs="Calibri"/>
        </w:rPr>
      </w:pPr>
      <w:r>
        <w:rPr>
          <w:rFonts w:eastAsia="Calibri" w:cs="Calibri" w:ascii="Calibri" w:hAnsi="Calibri"/>
        </w:rPr>
      </w:r>
    </w:p>
    <w:p>
      <w:pPr>
        <w:pStyle w:val="Normal"/>
        <w:spacing w:lineRule="auto" w:line="240"/>
        <w:jc w:val="both"/>
        <w:rPr>
          <w:rFonts w:ascii="Calibri" w:hAnsi="Calibri" w:eastAsia="Calibri" w:cs="Calibri"/>
        </w:rPr>
      </w:pPr>
      <w:r>
        <w:rPr>
          <w:rFonts w:eastAsia="Calibri" w:cs="Calibri" w:ascii="Calibri" w:hAnsi="Calibri"/>
        </w:rPr>
        <w:t>Entre as principais vantagens estruturadas para profissionais de saúde está a cobertura de Invalidez Permanente por Acidente Majorada. Diferentemente das apólices tradicionais, essa modalidade prevê o pagamento integral do valor previsto na apólice em caso de perda funcional de partes essenciais para o exercício da medicina, como dedos indicadores, polegares, membros superiores ou a visão.</w:t>
      </w:r>
    </w:p>
    <w:p>
      <w:pPr>
        <w:pStyle w:val="Normal"/>
        <w:spacing w:lineRule="auto" w:line="240"/>
        <w:jc w:val="both"/>
        <w:rPr>
          <w:rFonts w:ascii="Calibri" w:hAnsi="Calibri" w:eastAsia="Calibri" w:cs="Calibri"/>
        </w:rPr>
      </w:pPr>
      <w:r>
        <w:rPr>
          <w:rFonts w:eastAsia="Calibri" w:cs="Calibri" w:ascii="Calibri" w:hAnsi="Calibri"/>
        </w:rPr>
      </w:r>
    </w:p>
    <w:p>
      <w:pPr>
        <w:pStyle w:val="Normal"/>
        <w:spacing w:lineRule="auto" w:line="240"/>
        <w:jc w:val="both"/>
        <w:rPr>
          <w:rFonts w:ascii="Calibri" w:hAnsi="Calibri" w:eastAsia="Calibri" w:cs="Calibri"/>
        </w:rPr>
      </w:pPr>
      <w:r>
        <w:rPr>
          <w:rFonts w:eastAsia="Calibri" w:cs="Calibri" w:ascii="Calibri" w:hAnsi="Calibri"/>
        </w:rPr>
        <w:t>Na prática, isso significa que um cirurgião que perdeu o movimento de pinça de uma das mãos, por exemplo, pode não estar totalmente impossibilitado de trabalhar, mas fica impedido de exercer sua especialidade. Nessa situação, a cobertura garante o recebimento do valor integral previsto para invalidez, oferecendo respaldo financeiro diante da interrupção da atividade principal.</w:t>
      </w:r>
    </w:p>
    <w:p>
      <w:pPr>
        <w:pStyle w:val="Normal"/>
        <w:spacing w:lineRule="auto" w:line="240"/>
        <w:jc w:val="both"/>
        <w:rPr>
          <w:rFonts w:ascii="Calibri" w:hAnsi="Calibri" w:eastAsia="Calibri" w:cs="Calibri"/>
        </w:rPr>
      </w:pPr>
      <w:r>
        <w:rPr>
          <w:rFonts w:eastAsia="Calibri" w:cs="Calibri" w:ascii="Calibri" w:hAnsi="Calibri"/>
        </w:rPr>
      </w:r>
    </w:p>
    <w:p>
      <w:pPr>
        <w:pStyle w:val="Normal"/>
        <w:spacing w:lineRule="auto" w:line="240"/>
        <w:jc w:val="both"/>
        <w:rPr>
          <w:rFonts w:ascii="Calibri" w:hAnsi="Calibri" w:eastAsia="Calibri" w:cs="Calibri"/>
        </w:rPr>
      </w:pPr>
      <w:r>
        <w:rPr>
          <w:rFonts w:eastAsia="Calibri" w:cs="Calibri" w:ascii="Calibri" w:hAnsi="Calibri"/>
        </w:rPr>
        <w:t>Além da IPA Majorada, o médico pode estruturar sua proteção com coberturas complementares, como Doenças Graves Modular, que assegura indenização em caso de diagnóstico de enfermidades previstas em contrato; Diária de Internação, voltada à reposição de renda durante hospitalizações; além de garantias para fraturas (quebra de ossos) e procedimentos cirúrgicos.</w:t>
      </w:r>
    </w:p>
    <w:p>
      <w:pPr>
        <w:pStyle w:val="Normal"/>
        <w:spacing w:lineRule="auto" w:line="240"/>
        <w:jc w:val="both"/>
        <w:rPr>
          <w:rFonts w:ascii="Calibri" w:hAnsi="Calibri" w:eastAsia="Calibri" w:cs="Calibri"/>
        </w:rPr>
      </w:pPr>
      <w:r>
        <w:rPr>
          <w:rFonts w:eastAsia="Calibri" w:cs="Calibri" w:ascii="Calibri" w:hAnsi="Calibri"/>
        </w:rPr>
      </w:r>
    </w:p>
    <w:p>
      <w:pPr>
        <w:pStyle w:val="Normal"/>
        <w:spacing w:lineRule="auto" w:line="240"/>
        <w:jc w:val="both"/>
        <w:rPr>
          <w:rFonts w:ascii="Calibri" w:hAnsi="Calibri" w:eastAsia="Calibri" w:cs="Calibri"/>
        </w:rPr>
      </w:pPr>
      <w:r>
        <w:rPr>
          <w:rFonts w:eastAsia="Calibri" w:cs="Calibri" w:ascii="Calibri" w:hAnsi="Calibri"/>
        </w:rPr>
        <w:t>Para Florippes, a personalização é um diferencial relevante. “A carreira médica tem riscos muito específicos. Não se trata apenas de incapacidade total, mas da perda de habilidades técnicas fundamentais. Por isso, a estruturação adequada das coberturas é determinante para preservar a renda e a continuidade do planejamento financeiro”, afirma.</w:t>
      </w:r>
    </w:p>
    <w:p>
      <w:pPr>
        <w:pStyle w:val="Normal"/>
        <w:spacing w:lineRule="auto" w:line="240"/>
        <w:jc w:val="both"/>
        <w:rPr>
          <w:rFonts w:ascii="Calibri" w:hAnsi="Calibri" w:eastAsia="Calibri" w:cs="Calibri"/>
        </w:rPr>
      </w:pPr>
      <w:r>
        <w:rPr>
          <w:rFonts w:eastAsia="Calibri" w:cs="Calibri" w:ascii="Calibri" w:hAnsi="Calibri"/>
        </w:rPr>
      </w:r>
    </w:p>
    <w:p>
      <w:pPr>
        <w:pStyle w:val="Normal"/>
        <w:spacing w:lineRule="auto" w:line="240"/>
        <w:jc w:val="both"/>
        <w:rPr>
          <w:rFonts w:ascii="Calibri" w:hAnsi="Calibri" w:eastAsia="Calibri" w:cs="Calibri"/>
          <w:b/>
          <w:bCs/>
        </w:rPr>
      </w:pPr>
      <w:r>
        <w:rPr>
          <w:rFonts w:eastAsia="Calibri" w:cs="Calibri" w:ascii="Calibri" w:hAnsi="Calibri"/>
          <w:b/>
          <w:bCs/>
        </w:rPr>
        <w:t>Pressão por atualização e impacto financeiro</w:t>
      </w:r>
    </w:p>
    <w:p>
      <w:pPr>
        <w:pStyle w:val="Normal"/>
        <w:spacing w:lineRule="auto" w:line="240"/>
        <w:jc w:val="both"/>
        <w:rPr>
          <w:rFonts w:ascii="Calibri" w:hAnsi="Calibri" w:eastAsia="Calibri" w:cs="Calibri"/>
          <w:b/>
          <w:bCs/>
        </w:rPr>
      </w:pPr>
      <w:r>
        <w:rPr>
          <w:rFonts w:eastAsia="Calibri" w:cs="Calibri" w:ascii="Calibri" w:hAnsi="Calibri"/>
          <w:b/>
          <w:bCs/>
        </w:rPr>
      </w:r>
    </w:p>
    <w:p>
      <w:pPr>
        <w:pStyle w:val="Normal"/>
        <w:spacing w:lineRule="auto" w:line="240"/>
        <w:jc w:val="both"/>
        <w:rPr>
          <w:rFonts w:ascii="Calibri" w:hAnsi="Calibri" w:eastAsia="Calibri" w:cs="Calibri"/>
        </w:rPr>
      </w:pPr>
      <w:r>
        <w:rPr>
          <w:rFonts w:eastAsia="Calibri" w:cs="Calibri" w:ascii="Calibri" w:hAnsi="Calibri"/>
        </w:rPr>
        <w:t>Levantamento da</w:t>
      </w:r>
      <w:hyperlink r:id="rId4">
        <w:r>
          <w:rPr>
            <w:rStyle w:val="Style3"/>
            <w:rFonts w:eastAsia="Calibri" w:cs="Calibri" w:ascii="Calibri" w:hAnsi="Calibri"/>
          </w:rPr>
          <w:t xml:space="preserve"> </w:t>
        </w:r>
      </w:hyperlink>
      <w:hyperlink r:id="rId5">
        <w:r>
          <w:rPr>
            <w:rStyle w:val="Style3"/>
            <w:rFonts w:eastAsia="Calibri" w:cs="Calibri" w:ascii="Calibri" w:hAnsi="Calibri"/>
            <w:color w:val="1155CC"/>
            <w:u w:val="single"/>
          </w:rPr>
          <w:t>Afya</w:t>
        </w:r>
      </w:hyperlink>
      <w:r>
        <w:rPr>
          <w:rFonts w:eastAsia="Calibri" w:cs="Calibri" w:ascii="Calibri" w:hAnsi="Calibri"/>
          <w:color w:val="1155CC"/>
        </w:rPr>
        <w:t xml:space="preserve"> </w:t>
      </w:r>
      <w:r>
        <w:rPr>
          <w:rFonts w:eastAsia="Calibri" w:cs="Calibri" w:ascii="Calibri" w:hAnsi="Calibri"/>
        </w:rPr>
        <w:t>aponta que 39,8% da classe destina parte relevante da renda para educação continuada, como pós-graduação e especializações. Além disso,</w:t>
      </w:r>
      <w:hyperlink r:id="rId6">
        <w:r>
          <w:rPr>
            <w:rStyle w:val="Style3"/>
            <w:rFonts w:eastAsia="Calibri" w:cs="Calibri" w:ascii="Calibri" w:hAnsi="Calibri"/>
          </w:rPr>
          <w:t xml:space="preserve"> </w:t>
        </w:r>
      </w:hyperlink>
      <w:hyperlink r:id="rId7">
        <w:r>
          <w:rPr>
            <w:rStyle w:val="Style3"/>
            <w:rFonts w:eastAsia="Calibri" w:cs="Calibri" w:ascii="Calibri" w:hAnsi="Calibri"/>
            <w:color w:val="1155CC"/>
            <w:u w:val="single"/>
          </w:rPr>
          <w:t>nas grandes capitais, onde se concentra a maior parte dos médicos, o custo de vida elevado amplia a necessidade de planejamento</w:t>
        </w:r>
      </w:hyperlink>
      <w:r>
        <w:rPr>
          <w:rFonts w:eastAsia="Calibri" w:cs="Calibri" w:ascii="Calibri" w:hAnsi="Calibri"/>
        </w:rPr>
        <w:t>. Despesas como moradia, atualização profissional e padrão de consumo tornam a previsibilidade de renda um fator central na organização financeira.</w:t>
      </w:r>
    </w:p>
    <w:p>
      <w:pPr>
        <w:pStyle w:val="Normal"/>
        <w:spacing w:lineRule="auto" w:line="240"/>
        <w:jc w:val="both"/>
        <w:rPr>
          <w:rFonts w:ascii="Calibri" w:hAnsi="Calibri" w:eastAsia="Calibri" w:cs="Calibri"/>
        </w:rPr>
      </w:pPr>
      <w:r>
        <w:rPr>
          <w:rFonts w:eastAsia="Calibri" w:cs="Calibri" w:ascii="Calibri" w:hAnsi="Calibri"/>
        </w:rPr>
      </w:r>
    </w:p>
    <w:p>
      <w:pPr>
        <w:pStyle w:val="Normal"/>
        <w:spacing w:lineRule="auto" w:line="240"/>
        <w:jc w:val="both"/>
        <w:rPr>
          <w:rFonts w:ascii="Calibri" w:hAnsi="Calibri" w:eastAsia="Calibri" w:cs="Calibri"/>
        </w:rPr>
      </w:pPr>
      <w:r>
        <w:rPr>
          <w:rFonts w:eastAsia="Calibri" w:cs="Calibri" w:ascii="Calibri" w:hAnsi="Calibri"/>
        </w:rPr>
        <w:t>“</w:t>
      </w:r>
      <w:r>
        <w:rPr>
          <w:rFonts w:eastAsia="Calibri" w:cs="Calibri" w:ascii="Calibri" w:hAnsi="Calibri"/>
        </w:rPr>
        <w:t>Em um cenário no qual mais da metade da classe atua sem vínculo formal, instrumentos como o seguro de vida contribuem para dar estabilidade a uma carreira estruturada em múltiplos contratos e alta intensidade de trabalho”, diz o executivo.</w:t>
      </w:r>
    </w:p>
    <w:p>
      <w:pPr>
        <w:pStyle w:val="Normal"/>
        <w:spacing w:lineRule="auto" w:line="240"/>
        <w:jc w:val="both"/>
        <w:rPr>
          <w:rFonts w:ascii="Calibri" w:hAnsi="Calibri" w:eastAsia="Calibri" w:cs="Calibri"/>
        </w:rPr>
      </w:pPr>
      <w:r>
        <w:rPr>
          <w:rFonts w:eastAsia="Calibri" w:cs="Calibri" w:ascii="Calibri" w:hAnsi="Calibri"/>
        </w:rPr>
      </w:r>
    </w:p>
    <w:sectPr>
      <w:headerReference w:type="even" r:id="rId8"/>
      <w:headerReference w:type="default" r:id="rId9"/>
      <w:headerReference w:type="first" r:id="rId10"/>
      <w:type w:val="nextPage"/>
      <w:pgSz w:w="11906" w:h="16838"/>
      <w:pgMar w:left="1440" w:right="1440" w:gutter="0" w:header="72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463675" cy="532130"/>
          <wp:effectExtent l="0" t="0" r="0" b="0"/>
          <wp:docPr id="1" name="image1.png"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tipo&#10;&#10;Descrição gerada automaticamente"/>
                  <pic:cNvPicPr>
                    <a:picLocks noChangeAspect="1" noChangeArrowheads="1"/>
                  </pic:cNvPicPr>
                </pic:nvPicPr>
                <pic:blipFill>
                  <a:blip r:embed="rId1"/>
                  <a:stretch>
                    <a:fillRect/>
                  </a:stretch>
                </pic:blipFill>
                <pic:spPr bwMode="auto">
                  <a:xfrm>
                    <a:off x="0" y="0"/>
                    <a:ext cx="1463675" cy="53213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463675" cy="532130"/>
          <wp:effectExtent l="0" t="0" r="0" b="0"/>
          <wp:docPr id="2" name="image1.png"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Logotipo&#10;&#10;Descrição gerada automaticamente"/>
                  <pic:cNvPicPr>
                    <a:picLocks noChangeAspect="1" noChangeArrowheads="1"/>
                  </pic:cNvPicPr>
                </pic:nvPicPr>
                <pic:blipFill>
                  <a:blip r:embed="rId1"/>
                  <a:stretch>
                    <a:fillRect/>
                  </a:stretch>
                </pic:blipFill>
                <pic:spPr bwMode="auto">
                  <a:xfrm>
                    <a:off x="0" y="0"/>
                    <a:ext cx="1463675" cy="532130"/>
                  </a:xfrm>
                  <a:prstGeom prst="rect">
                    <a:avLst/>
                  </a:prstGeom>
                  <a:noFill/>
                </pic:spPr>
              </pic:pic>
            </a:graphicData>
          </a:graphic>
        </wp:inline>
      </w:drawing>
    </w:r>
  </w:p>
</w:hdr>
</file>

<file path=word/settings.xml><?xml version="1.0" encoding="utf-8"?>
<w:settings xmlns:w="http://schemas.openxmlformats.org/wordprocessingml/2006/main">
  <w:zoom w:percent="130"/>
  <w:embedTrueTypeFonts/>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0"/>
      <w:jc w:val="start"/>
    </w:pPr>
    <w:rPr>
      <w:rFonts w:ascii="Arial" w:hAnsi="Arial" w:eastAsia="Arial" w:cs="Arial"/>
      <w:color w:val="auto"/>
      <w:kern w:val="0"/>
      <w:sz w:val="22"/>
      <w:szCs w:val="22"/>
      <w:lang w:val="pt-BR" w:eastAsia="pt-BR"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semiHidden/>
    <w:unhideWhenUsed/>
    <w:qFormat/>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iCs/>
      <w:color w:val="666666"/>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a86460"/>
    <w:rPr/>
  </w:style>
  <w:style w:type="character" w:styleId="RodapChar" w:customStyle="1">
    <w:name w:val="Rodapé Char"/>
    <w:basedOn w:val="DefaultParagraphFont"/>
    <w:uiPriority w:val="99"/>
    <w:qFormat/>
    <w:rsid w:val="00a86460"/>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paragraph" w:styleId="Cabealhoerodap">
    <w:name w:val="Cabeçalho e rodapé"/>
    <w:basedOn w:val="Normal"/>
    <w:qFormat/>
    <w:pPr/>
    <w:rPr/>
  </w:style>
  <w:style w:type="paragraph" w:styleId="Header">
    <w:name w:val="header"/>
    <w:basedOn w:val="Normal"/>
    <w:link w:val="CabealhoChar"/>
    <w:uiPriority w:val="99"/>
    <w:unhideWhenUsed/>
    <w:rsid w:val="00a86460"/>
    <w:pPr>
      <w:tabs>
        <w:tab w:val="clear" w:pos="720"/>
        <w:tab w:val="center" w:pos="4252" w:leader="none"/>
        <w:tab w:val="right" w:pos="8504" w:leader="none"/>
      </w:tabs>
      <w:spacing w:lineRule="auto" w:line="240"/>
    </w:pPr>
    <w:rPr/>
  </w:style>
  <w:style w:type="paragraph" w:styleId="Footer">
    <w:name w:val="footer"/>
    <w:basedOn w:val="Normal"/>
    <w:link w:val="RodapChar"/>
    <w:uiPriority w:val="99"/>
    <w:unhideWhenUsed/>
    <w:rsid w:val="00a86460"/>
    <w:pPr>
      <w:tabs>
        <w:tab w:val="clear" w:pos="720"/>
        <w:tab w:val="center" w:pos="4252" w:leader="none"/>
        <w:tab w:val="right" w:pos="8504" w:leader="none"/>
      </w:tabs>
      <w:spacing w:lineRule="auto" w:line="240"/>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estrategia.com/portal/noticias/brasil-tera-635-mil-medicos-ate-o-fim-do-ano-confira-os-principais-dados-da-demografia-medica-2025/" TargetMode="External"/><Relationship Id="rId3" Type="http://schemas.openxmlformats.org/officeDocument/2006/relationships/hyperlink" Target="https://med.estrategia.com/portal/noticias/brasil-tera-635-mil-medicos-ate-o-fim-do-ano-confira-os-principais-dados-da-demografia-medica-2025/" TargetMode="External"/><Relationship Id="rId4" Type="http://schemas.openxmlformats.org/officeDocument/2006/relationships/hyperlink" Target="https://www.afya.com.br/noticias/mais-de-96-dos-medicos-generalistas-pensam-em-se-especializar-aponta-pesquisa" TargetMode="External"/><Relationship Id="rId5" Type="http://schemas.openxmlformats.org/officeDocument/2006/relationships/hyperlink" Target="https://www.afya.com.br/noticias/mais-de-96-dos-medicos-generalistas-pensam-em-se-especializar-aponta-pesquisa" TargetMode="External"/><Relationship Id="rId6" Type="http://schemas.openxmlformats.org/officeDocument/2006/relationships/hyperlink" Target="https://exame.com/mercado-imobiliario/qual-sao-as-cidades-mais-caras-para-se-viver-no-brasil-em-2025/" TargetMode="External"/><Relationship Id="rId7" Type="http://schemas.openxmlformats.org/officeDocument/2006/relationships/hyperlink" Target="https://exame.com/mercado-imobiliario/qual-sao-as-cidades-mais-caras-para-se-viver-no-brasil-em-2025/"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6fe8b8-731e-409f-87c6-f0effde01b0a">
      <Terms xmlns="http://schemas.microsoft.com/office/infopath/2007/PartnerControls"/>
    </lcf76f155ced4ddcb4097134ff3c332f>
    <TaxCatchAll xmlns="58f018c5-d5d9-43fe-89f5-aa2d791932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96E3CCE3B1B614680F71D1E3D2F5AE7" ma:contentTypeVersion="23" ma:contentTypeDescription="Crie um novo documento." ma:contentTypeScope="" ma:versionID="bcec4dc42da9d4337a45db003dc37265">
  <xsd:schema xmlns:xsd="http://www.w3.org/2001/XMLSchema" xmlns:xs="http://www.w3.org/2001/XMLSchema" xmlns:p="http://schemas.microsoft.com/office/2006/metadata/properties" xmlns:ns1="http://schemas.microsoft.com/sharepoint/v3" xmlns:ns2="b96fe8b8-731e-409f-87c6-f0effde01b0a" xmlns:ns3="58f018c5-d5d9-43fe-89f5-aa2d7919325d" targetNamespace="http://schemas.microsoft.com/office/2006/metadata/properties" ma:root="true" ma:fieldsID="7d680c33751da9f25b94cd58d10249df" ns1:_="" ns2:_="" ns3:_="">
    <xsd:import namespace="http://schemas.microsoft.com/sharepoint/v3"/>
    <xsd:import namespace="b96fe8b8-731e-409f-87c6-f0effde01b0a"/>
    <xsd:import namespace="58f018c5-d5d9-43fe-89f5-aa2d791932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edades da Política de Conformidade Unificada" ma:hidden="true" ma:internalName="_ip_UnifiedCompliancePolicyProperties">
      <xsd:simpleType>
        <xsd:restriction base="dms:Note"/>
      </xsd:simpleType>
    </xsd:element>
    <xsd:element name="_ip_UnifiedCompliancePolicyUIAction" ma:index="27"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fe8b8-731e-409f-87c6-f0effde01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dff36d8a-1165-43da-b5d2-2413c84520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018c5-d5d9-43fe-89f5-aa2d7919325d"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fbd8c6d3-aa66-4f1b-a0ce-75b7937c553e}" ma:internalName="TaxCatchAll" ma:showField="CatchAllData" ma:web="58f018c5-d5d9-43fe-89f5-aa2d7919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206A7-E240-46A9-8891-77844CF51DA4}"/>
</file>

<file path=customXml/itemProps2.xml><?xml version="1.0" encoding="utf-8"?>
<ds:datastoreItem xmlns:ds="http://schemas.openxmlformats.org/officeDocument/2006/customXml" ds:itemID="{3825A306-8E96-40A4-A425-0E1B0FC50BB1}"/>
</file>

<file path=customXml/itemProps3.xml><?xml version="1.0" encoding="utf-8"?>
<ds:datastoreItem xmlns:ds="http://schemas.openxmlformats.org/officeDocument/2006/customXml" ds:itemID="{E6F53D6C-81CD-49B1-9C60-1B73EEDFF109}"/>
</file>

<file path=docProps/app.xml><?xml version="1.0" encoding="utf-8"?>
<Properties xmlns="http://schemas.openxmlformats.org/officeDocument/2006/extended-properties" xmlns:vt="http://schemas.openxmlformats.org/officeDocument/2006/docPropsVTypes">
  <Template>Normal</Template>
  <TotalTime>4</TotalTime>
  <Application>LibreOffice/26.2.0.3$Windows_X86_64 LibreOffice_project/620$Build-3</Application>
  <AppVersion>15.0000</AppVersion>
  <DocSecurity>4</DocSecurity>
  <Pages>2</Pages>
  <Words>627</Words>
  <Characters>3654</Characters>
  <CharactersWithSpaces>4268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2026-03-04T19:13:00Z</dcterms:created>
  <dc:creator>Lidiana Dourado Guedes</dc:creator>
  <dc:description/>
  <dc:language>pt-BR</dc:language>
  <cp:lastModifiedBy>Lidiana Dourado Guedes</cp:lastModifiedBy>
  <dcterms:modified xsi:type="dcterms:W3CDTF">2026-03-04T19:13:00Z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0x010100796E3CCE3B1B614680F71D1E3D2F5AE7</vt:lpwstr>
  </property>
  <property fmtid="{D5CDD505-2E9C-101B-9397-08002B2CF9AE}" pid="3" name="MSIP_Label_8a6cf364-210d-4065-b67f-4fe91240a0e9_ActionId">
    <vt:lpwstr>3250380e-c962-4854-a94b-137139334cfd</vt:lpwstr>
  </property>
  <property fmtid="{D5CDD505-2E9C-101B-9397-08002B2CF9AE}" pid="4" name="MSIP_Label_8a6cf364-210d-4065-b67f-4fe91240a0e9_ContentBits">
    <vt:lpwstr>0</vt:lpwstr>
  </property>
  <property fmtid="{D5CDD505-2E9C-101B-9397-08002B2CF9AE}" pid="5" name="MSIP_Label_8a6cf364-210d-4065-b67f-4fe91240a0e9_Enabled">
    <vt:lpwstr>true</vt:lpwstr>
  </property>
  <property fmtid="{D5CDD505-2E9C-101B-9397-08002B2CF9AE}" pid="6" name="MSIP_Label_8a6cf364-210d-4065-b67f-4fe91240a0e9_Method">
    <vt:lpwstr>Standard</vt:lpwstr>
  </property>
  <property fmtid="{D5CDD505-2E9C-101B-9397-08002B2CF9AE}" pid="7" name="MSIP_Label_8a6cf364-210d-4065-b67f-4fe91240a0e9_Name">
    <vt:lpwstr>8a6cf364-210d-4065-b67f-4fe91240a0e9</vt:lpwstr>
  </property>
  <property fmtid="{D5CDD505-2E9C-101B-9397-08002B2CF9AE}" pid="8" name="MSIP_Label_8a6cf364-210d-4065-b67f-4fe91240a0e9_SetDate">
    <vt:lpwstr>2026-03-03T18:20:01Z</vt:lpwstr>
  </property>
  <property fmtid="{D5CDD505-2E9C-101B-9397-08002B2CF9AE}" pid="9" name="MSIP_Label_8a6cf364-210d-4065-b67f-4fe91240a0e9_SiteId">
    <vt:lpwstr>8e210324-1d84-4b06-a9cd-c2efc18046df</vt:lpwstr>
  </property>
  <property fmtid="{D5CDD505-2E9C-101B-9397-08002B2CF9AE}" pid="10" name="MSIP_Label_8a6cf364-210d-4065-b67f-4fe91240a0e9_Tag">
    <vt:lpwstr>10, 1, 2, 1</vt:lpwstr>
  </property>
  <property fmtid="{D5CDD505-2E9C-101B-9397-08002B2CF9AE}" pid="11" name="MediaServiceImageTags">
    <vt:lpwstr/>
  </property>
  <property fmtid="{D5CDD505-2E9C-101B-9397-08002B2CF9AE}" pid="12" name="docLang">
    <vt:lpwstr>pt</vt:lpwstr>
  </property>
</Properties>
</file>