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before="100" w:after="10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Longevidade avança no Brasil e amplia debate sobre proteção financeira</w:t>
      </w:r>
    </w:p>
    <w:p>
      <w:pPr>
        <w:pStyle w:val="Normal"/>
        <w:spacing w:before="100" w:after="100"/>
        <w:jc w:val="center"/>
        <w:rPr>
          <w:rFonts w:ascii="Calibri" w:hAnsi="Calibri" w:eastAsia="Calibri" w:cs="Calibri" w:asciiTheme="majorHAnsi" w:cstheme="majorHAnsi" w:hAnsiTheme="majorHAnsi"/>
          <w:i/>
          <w:iCs/>
        </w:rPr>
      </w:pPr>
      <w:r>
        <w:rPr>
          <w:rFonts w:eastAsia="Calibri" w:cs="Calibri" w:ascii="Calibri" w:hAnsi="Calibri" w:asciiTheme="majorHAnsi" w:cstheme="majorHAnsi" w:hAnsiTheme="majorHAnsi"/>
          <w:i/>
          <w:iCs/>
        </w:rPr>
        <w:t>Com a expectativa de vida dos brasileiros atingindo o maior índice histórico, o seguro de vida emerge como ferramenta essencial de proteção financeira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 xml:space="preserve">São Paulo, abril de 2026 </w:t>
      </w:r>
      <w:r>
        <w:rPr>
          <w:rFonts w:eastAsia="Calibri" w:cs="Calibri" w:ascii="Calibri" w:hAnsi="Calibri" w:asciiTheme="majorHAnsi" w:cstheme="majorHAnsi" w:hAnsiTheme="majorHAnsi"/>
        </w:rPr>
        <w:t>– Os brasileiros estão vivendo mais, e isso redesenha o planejamento financeiro de longo prazo. Segundo o Instituto Brasileiro de Geografia e Estatística (IBGE), a expectativa de vida ao nascer atingiu 76,6 anos, o maior patamar desde o início da série histórica, em 1940. Há oito décadas, essa média era de 45,5 anos, um aumento superior a 30 anos. Esse cenário amplia uma questão central: como sustentar financeiramente uma vida mais longa e, muitas vezes, mais exposta a riscos?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Nesse contexto, o seguro de vida deixa de ser visto apenas como uma proteção em caso de falecimento e passa a ocupar um papel estratégico no planejamento financeiro familiar. Além de garantir suporte em momentos críticos, como invalidez, doenças graves e acidentes, o produto também contribui para a preservação de renda e a organização patrimonial ao longo do tempo 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Uma vida mais longa é uma conquista, mas também amplia a janela de exposição a riscos. Viver mais significa lidar, por mais tempo, com decisões relacionadas à renda, à proteção da família e à forma como o patrimônio será transferido para a próxima geração”, afirma José Luiz Florippes, diretor de vendas da Omint Seguros.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Na prática, a longevidade mostra que os brasileiros precisarão lidar com temas mais sensíveis, muitos ainda considerados tabus:</w:t>
      </w:r>
    </w:p>
    <w:p>
      <w:pPr>
        <w:pStyle w:val="Normal"/>
        <w:numPr>
          <w:ilvl w:val="0"/>
          <w:numId w:val="1"/>
        </w:numPr>
        <w:pBdr/>
        <w:spacing w:before="100" w:after="0"/>
        <w:jc w:val="both"/>
        <w:rPr>
          <w:rFonts w:ascii="Calibri" w:hAnsi="Calibri" w:eastAsia="Calibri" w:cs="Calibri" w:asciiTheme="majorHAnsi" w:cstheme="majorHAnsi" w:hAnsiTheme="majorHAnsi"/>
          <w:color w:val="000000"/>
        </w:rPr>
      </w:pPr>
      <w:r>
        <w:rPr>
          <w:rFonts w:eastAsia="Calibri" w:cs="Calibri" w:ascii="Calibri" w:hAnsi="Calibri" w:asciiTheme="majorHAnsi" w:cstheme="majorHAnsi" w:hAnsiTheme="majorHAnsi"/>
          <w:color w:val="000000"/>
        </w:rPr>
        <w:t>manutenção do padrão de vida;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 w:asciiTheme="majorHAnsi" w:cstheme="majorHAnsi" w:hAnsiTheme="majorHAnsi"/>
          <w:color w:val="000000"/>
        </w:rPr>
      </w:pPr>
      <w:r>
        <w:rPr>
          <w:rFonts w:eastAsia="Calibri" w:cs="Calibri" w:ascii="Calibri" w:hAnsi="Calibri" w:asciiTheme="majorHAnsi" w:cstheme="majorHAnsi" w:hAnsiTheme="majorHAnsi"/>
          <w:color w:val="000000"/>
        </w:rPr>
        <w:t>proteção da renda ao longo do tempo;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 w:asciiTheme="majorHAnsi" w:cstheme="majorHAnsi" w:hAnsiTheme="majorHAnsi"/>
          <w:color w:val="000000"/>
        </w:rPr>
      </w:pPr>
      <w:r>
        <w:rPr>
          <w:rFonts w:eastAsia="Calibri" w:cs="Calibri" w:ascii="Calibri" w:hAnsi="Calibri" w:asciiTheme="majorHAnsi" w:cstheme="majorHAnsi" w:hAnsiTheme="majorHAnsi"/>
          <w:color w:val="000000"/>
        </w:rPr>
        <w:t>dependência financeira em fases mais avançadas;</w:t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 w:asciiTheme="majorHAnsi" w:cstheme="majorHAnsi" w:hAnsiTheme="majorHAnsi"/>
          <w:color w:val="000000"/>
        </w:rPr>
      </w:pPr>
      <w:r>
        <w:rPr>
          <w:rFonts w:eastAsia="Calibri" w:cs="Calibri" w:ascii="Calibri" w:hAnsi="Calibri" w:asciiTheme="majorHAnsi" w:cstheme="majorHAnsi" w:hAnsiTheme="majorHAnsi"/>
          <w:color w:val="000000"/>
        </w:rPr>
        <w:t>custos de saúde e cuidado;</w:t>
      </w:r>
    </w:p>
    <w:p>
      <w:pPr>
        <w:pStyle w:val="Normal"/>
        <w:numPr>
          <w:ilvl w:val="0"/>
          <w:numId w:val="1"/>
        </w:numPr>
        <w:pBdr/>
        <w:spacing w:before="0" w:after="100"/>
        <w:jc w:val="both"/>
        <w:rPr>
          <w:rFonts w:ascii="Calibri" w:hAnsi="Calibri" w:eastAsia="Calibri" w:cs="Calibri" w:asciiTheme="majorHAnsi" w:cstheme="majorHAnsi" w:hAnsiTheme="majorHAnsi"/>
          <w:color w:val="000000"/>
        </w:rPr>
      </w:pPr>
      <w:r>
        <w:rPr>
          <w:rFonts w:eastAsia="Calibri" w:cs="Calibri" w:ascii="Calibri" w:hAnsi="Calibri" w:asciiTheme="majorHAnsi" w:cstheme="majorHAnsi" w:hAnsiTheme="majorHAnsi"/>
          <w:color w:val="000000"/>
        </w:rPr>
        <w:t>sucessão patrimonial e organização do legado.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Educação financeira não é apenas sobre poupar ou investir, mas também sobre proteger o que já foi conquistado. É nesse ponto que o seguro de vida atua de forma estratégica, garantindo que uma emergência não se transforme em uma crise financeira irreversível”, explica o executivo.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Expectativa de vida das mulheres ainda é mais elevada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As mulheres brasileiras seguem vivendo mais do que os homens. De acordo com o </w:t>
      </w:r>
      <w:hyperlink r:id="rId2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  <w:u w:val="single"/>
          </w:rPr>
          <w:t>IBGE, a expectativa de vida feminina já se aproxima dos 80 anos</w:t>
        </w:r>
      </w:hyperlink>
      <w:r>
        <w:rPr>
          <w:rFonts w:eastAsia="Calibri" w:cs="Calibri" w:ascii="Calibri" w:hAnsi="Calibri" w:asciiTheme="majorHAnsi" w:cstheme="majorHAnsi" w:hAnsiTheme="majorHAnsi"/>
        </w:rPr>
        <w:t xml:space="preserve">, mantendo uma diferença relevante em relação à masculina. Se por um lado esse avanço representa um ganho importante em longevidade, por outro ele também amplia o período em que elas precisarão sustentar decisões ligadas à renda, à saúde, ao patrimônio e à própria autonomia financeira. 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Na prática, isso significa que muitas mulheres podem passar mais tempo expostas a fases de vida em que o planejamento se torna ainda mais sensível, seja para manter o padrão de vida, atravessar períodos de reorganização familiar, lidar com custos crescentes de cuidados ou garantir proteção para si e para seus dependentes.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Quando falamos em viver mais, o recorte feminino merece atenção especial. Viver mais requer proteção por mais tempo. Isso reforça a importância de instrumentos que ajudem a trazer previsibilidade financeira para a trajetória de vida da mulher. Aqui, o seguro ganha uma camada adicional de relevância”, declara Florippes.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Proteção que vai além da ausência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 seguro de vida passa por um novo momento, consolidando-se como um produto para ser utilizado em vida. Em vez de ser acionado apenas como resposta a acontecimentos extremos, como o falecimento, passa a ser considerado dentro de uma lógica de planejamento, contribuindo para promover liquidez em momentos sensíveis e apoiando a reorganização financeira, a preservação do patrimônio e a manutenção da vida familiar.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Quando a expectativa de vida aumenta, cresce a necessidade de pensar a proteção de forma menos pontual e mais estruturada. O seguro de vida passa a dialogar com planejamento, continuidade e cuidado de longo prazo”, explica Florippes.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A visão contemporânea do seguro de vida vai além da indenização por morte. O produto se consolida como um pilar de previsibilidade. “Para famílias com dependentes, profissionais autônomos, empreendedores e pessoas em processo de acumulação patrimonial, o seguro de vida representa uma das decisões financeiras mais racionais e acessíveis disponíveis no mercado atual”, afirma o executivo.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Em um país onde viver mais já é uma realidade, e não exceção, planejar a proteção financeira com o mesmo cuidado dedicado à aposentadoria é um imperativo. Para o executivo, nesse contexto, o seguro não é um gasto, mas um investimento em tranquilidade, continuidade e cuidado com quem se ama.</w:t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before="100" w:after="10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360" w:before="100" w:after="100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40be2"/>
    <w:rPr/>
  </w:style>
  <w:style w:type="character" w:styleId="RodapChar" w:customStyle="1">
    <w:name w:val="Rodapé Char"/>
    <w:basedOn w:val="DefaultParagraphFont"/>
    <w:uiPriority w:val="99"/>
    <w:qFormat/>
    <w:rsid w:val="00a40be2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0be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a40be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enciabrasil.ebc.com.br/geral/noticia/2025-11/expectativa-de-vida-no-pais-sobe-para-766-anos-maior-ja-registra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11w4k3KP1PfSLDvfiQ9zgyLH1kA==">CgMxLjA4AGouChRzdWdnZXN0LmZrY211eHE2cGEwZxIWQW5hIENsYXVkaWEgQmVsbGludGFuZXIhMUFXQUZBY0NLUkg4UjNtQzJoQTJNRlp3OV9EVU8zNUxG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C40CD53-7020-4975-8975-2EC56180650B}"/>
</file>

<file path=customXml/itemProps2.xml><?xml version="1.0" encoding="utf-8"?>
<ds:datastoreItem xmlns:ds="http://schemas.openxmlformats.org/officeDocument/2006/customXml" ds:itemID="{76A54E7C-898F-4FEA-B52B-EF9B85899009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3E89A4CF-1076-4A73-BE86-FD46A51BD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LibreOffice/26.2.0.3$Windows_X86_64 LibreOffice_project/620$Build-3</Application>
  <AppVersion>15.0000</AppVersion>
  <Pages>2</Pages>
  <Words>719</Words>
  <Characters>3800</Characters>
  <CharactersWithSpaces>4496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2026-04-09T14:50:00Z</dcterms:created>
  <dc:creator>Lidiana Dourado Guedes</dc:creator>
  <dc:description/>
  <dc:language>pt-BR</dc:language>
  <cp:lastModifiedBy>Lidiana Dourado Guedes</cp:lastModifiedBy>
  <dcterms:modified xsi:type="dcterms:W3CDTF">2026-04-09T17:57:00Z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efc78a34-7241-46c4-8149-e7c74d5c64dd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2026-04-09T13:01:08Z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</Properties>
</file>